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4</w:t>
      </w:r>
    </w:p>
    <w:p>
      <w:pPr>
        <w:jc w:val="center"/>
        <w:rPr>
          <w:rFonts w:hint="default" w:ascii="Times New Roman" w:hAnsi="Times New Roman" w:eastAsia="方正小标宋_GBK" w:cs="Times New Roman"/>
          <w:sz w:val="52"/>
          <w:szCs w:val="52"/>
        </w:rPr>
      </w:pP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2</w:t>
      </w:r>
      <w:r>
        <w:rPr>
          <w:rFonts w:hint="eastAsia" w:ascii="方正小标宋简体" w:hAnsi="方正小标宋简体" w:eastAsia="方正小标宋简体" w:cs="方正小标宋简体"/>
          <w:sz w:val="44"/>
          <w:szCs w:val="44"/>
        </w:rPr>
        <w:t>年度</w:t>
      </w:r>
      <w:r>
        <w:rPr>
          <w:rFonts w:hint="eastAsia" w:ascii="方正小标宋简体" w:hAnsi="方正小标宋简体" w:eastAsia="方正小标宋简体" w:cs="方正小标宋简体"/>
          <w:sz w:val="44"/>
          <w:szCs w:val="44"/>
          <w:lang w:val="en-US" w:eastAsia="zh-CN"/>
        </w:rPr>
        <w:t xml:space="preserve">岳阳市动物疫病预防控制中心   </w:t>
      </w:r>
      <w:r>
        <w:rPr>
          <w:rFonts w:hint="eastAsia" w:ascii="方正小标宋简体" w:hAnsi="方正小标宋简体" w:eastAsia="方正小标宋简体" w:cs="方正小标宋简体"/>
          <w:sz w:val="44"/>
          <w:szCs w:val="44"/>
        </w:rPr>
        <w:t>整体支出绩效自评报告</w:t>
      </w:r>
    </w:p>
    <w:p>
      <w:pPr>
        <w:jc w:val="center"/>
        <w:rPr>
          <w:rFonts w:hint="default" w:ascii="Times New Roman" w:hAnsi="Times New Roman" w:eastAsia="方正小标宋_GBK" w:cs="Times New Roman"/>
          <w:b/>
          <w:sz w:val="52"/>
          <w:szCs w:val="52"/>
        </w:rPr>
      </w:pPr>
    </w:p>
    <w:p>
      <w:pPr>
        <w:jc w:val="center"/>
        <w:rPr>
          <w:rFonts w:hint="default" w:ascii="Times New Roman" w:hAnsi="Times New Roman" w:eastAsia="楷体_GB2312" w:cs="Times New Roman"/>
          <w:b/>
          <w:sz w:val="32"/>
          <w:szCs w:val="32"/>
        </w:rPr>
      </w:pPr>
    </w:p>
    <w:p>
      <w:pPr>
        <w:jc w:val="both"/>
        <w:rPr>
          <w:rFonts w:hint="default" w:ascii="Times New Roman" w:hAnsi="Times New Roman" w:eastAsia="楷体_GB2312" w:cs="Times New Roman"/>
          <w:b/>
          <w:sz w:val="32"/>
          <w:szCs w:val="32"/>
        </w:rPr>
      </w:pPr>
    </w:p>
    <w:p>
      <w:pPr>
        <w:jc w:val="center"/>
        <w:rPr>
          <w:rFonts w:hint="default" w:ascii="Times New Roman" w:hAnsi="Times New Roman" w:eastAsia="楷体_GB2312" w:cs="Times New Roman"/>
          <w:b/>
          <w:sz w:val="32"/>
          <w:szCs w:val="32"/>
        </w:rPr>
      </w:pPr>
    </w:p>
    <w:p>
      <w:pPr>
        <w:jc w:val="center"/>
        <w:rPr>
          <w:rFonts w:hint="default" w:ascii="Times New Roman" w:hAnsi="Times New Roman" w:eastAsia="楷体_GB2312" w:cs="Times New Roman"/>
          <w:b/>
          <w:sz w:val="32"/>
          <w:szCs w:val="32"/>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spacing w:line="600" w:lineRule="exact"/>
        <w:jc w:val="center"/>
        <w:rPr>
          <w:rFonts w:hint="default"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部门（单位）名称：</w:t>
      </w:r>
      <w:r>
        <w:rPr>
          <w:rFonts w:hint="default" w:ascii="Times New Roman" w:hAnsi="Times New Roman" w:eastAsia="仿宋_GB2312" w:cs="Times New Roman"/>
          <w:sz w:val="32"/>
          <w:szCs w:val="32"/>
          <w:u w:val="single"/>
        </w:rPr>
        <w:t>（盖章）</w:t>
      </w:r>
    </w:p>
    <w:p>
      <w:pPr>
        <w:spacing w:line="600" w:lineRule="exact"/>
        <w:jc w:val="center"/>
        <w:rPr>
          <w:rFonts w:hint="eastAsia" w:ascii="方正小标宋简体" w:hAnsi="方正小标宋简体" w:eastAsia="方正小标宋简体" w:cs="方正小标宋简体"/>
          <w:sz w:val="44"/>
          <w:szCs w:val="44"/>
          <w:lang w:val="en-US" w:eastAsia="zh-CN"/>
        </w:rPr>
      </w:pPr>
      <w:r>
        <w:rPr>
          <w:rFonts w:hint="eastAsia" w:ascii="Times New Roman" w:hAnsi="Times New Roman" w:eastAsia="楷体_GB2312" w:cs="Times New Roman"/>
          <w:sz w:val="32"/>
          <w:szCs w:val="32"/>
          <w:lang w:val="en-US" w:eastAsia="zh-CN"/>
        </w:rPr>
        <w:t>2023</w:t>
      </w:r>
      <w:r>
        <w:rPr>
          <w:rFonts w:hint="default" w:ascii="Times New Roman" w:hAnsi="Times New Roman" w:eastAsia="楷体_GB2312" w:cs="Times New Roman"/>
          <w:sz w:val="32"/>
          <w:szCs w:val="32"/>
        </w:rPr>
        <w:t>年</w:t>
      </w:r>
      <w:r>
        <w:rPr>
          <w:rFonts w:hint="eastAsia" w:ascii="Times New Roman" w:hAnsi="Times New Roman" w:eastAsia="楷体_GB2312" w:cs="Times New Roman"/>
          <w:sz w:val="32"/>
          <w:szCs w:val="32"/>
          <w:lang w:val="en-US" w:eastAsia="zh-CN"/>
        </w:rPr>
        <w:t>6</w:t>
      </w:r>
      <w:r>
        <w:rPr>
          <w:rFonts w:hint="default" w:ascii="Times New Roman" w:hAnsi="Times New Roman" w:eastAsia="楷体_GB2312" w:cs="Times New Roman"/>
          <w:sz w:val="32"/>
          <w:szCs w:val="32"/>
        </w:rPr>
        <w:t>月</w:t>
      </w:r>
      <w:r>
        <w:rPr>
          <w:rFonts w:hint="eastAsia" w:ascii="Times New Roman" w:hAnsi="Times New Roman" w:eastAsia="楷体_GB2312" w:cs="Times New Roman"/>
          <w:sz w:val="32"/>
          <w:szCs w:val="32"/>
          <w:lang w:val="en-US" w:eastAsia="zh-CN"/>
        </w:rPr>
        <w:t>6</w:t>
      </w:r>
      <w:r>
        <w:rPr>
          <w:rFonts w:hint="default" w:ascii="Times New Roman" w:hAnsi="Times New Roman" w:eastAsia="楷体_GB2312" w:cs="Times New Roman"/>
          <w:sz w:val="32"/>
          <w:szCs w:val="32"/>
        </w:rPr>
        <w:t>日</w:t>
      </w:r>
      <w:r>
        <w:rPr>
          <w:rFonts w:hint="default" w:ascii="Times New Roman" w:hAnsi="Times New Roman" w:eastAsia="仿宋_GB2312" w:cs="Times New Roman"/>
          <w:sz w:val="32"/>
          <w:szCs w:val="32"/>
        </w:rPr>
        <w:br w:type="page"/>
      </w: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2</w:t>
      </w:r>
      <w:r>
        <w:rPr>
          <w:rFonts w:hint="eastAsia" w:ascii="方正小标宋简体" w:hAnsi="方正小标宋简体" w:eastAsia="方正小标宋简体" w:cs="方正小标宋简体"/>
          <w:sz w:val="44"/>
          <w:szCs w:val="44"/>
        </w:rPr>
        <w:t>年度</w:t>
      </w:r>
      <w:r>
        <w:rPr>
          <w:rFonts w:hint="eastAsia" w:ascii="方正小标宋简体" w:hAnsi="方正小标宋简体" w:eastAsia="方正小标宋简体" w:cs="方正小标宋简体"/>
          <w:sz w:val="44"/>
          <w:szCs w:val="44"/>
          <w:lang w:val="en-US" w:eastAsia="zh-CN"/>
        </w:rPr>
        <w:t>岳阳市动物疫病预防控制中心</w:t>
      </w:r>
    </w:p>
    <w:p>
      <w:pPr>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整体支出绩效自评报告</w:t>
      </w:r>
    </w:p>
    <w:p>
      <w:pPr>
        <w:keepNext w:val="0"/>
        <w:keepLines w:val="0"/>
        <w:pageBreakBefore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rPr>
      </w:pPr>
    </w:p>
    <w:p>
      <w:pPr>
        <w:keepNext w:val="0"/>
        <w:keepLines w:val="0"/>
        <w:pageBreakBefore w:val="0"/>
        <w:numPr>
          <w:ilvl w:val="0"/>
          <w:numId w:val="1"/>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部门（单位）基本情况</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rPr>
      </w:pPr>
      <w:r>
        <w:rPr>
          <w:rFonts w:hint="eastAsia" w:eastAsia="仿宋_GB2312" w:cs="仿宋_GB2312"/>
          <w:kern w:val="0"/>
          <w:sz w:val="32"/>
          <w:szCs w:val="32"/>
        </w:rPr>
        <w:t>岳阳市动物疫病预防控制中心(</w:t>
      </w:r>
      <w:r>
        <w:rPr>
          <w:rFonts w:hint="eastAsia" w:eastAsia="仿宋_GB2312" w:cs="仿宋_GB2312"/>
          <w:kern w:val="0"/>
          <w:sz w:val="32"/>
          <w:szCs w:val="32"/>
          <w:lang w:eastAsia="zh-CN"/>
        </w:rPr>
        <w:t>加</w:t>
      </w:r>
      <w:r>
        <w:rPr>
          <w:rFonts w:hint="eastAsia" w:eastAsia="仿宋_GB2312" w:cs="仿宋_GB2312"/>
          <w:kern w:val="0"/>
          <w:sz w:val="32"/>
          <w:szCs w:val="32"/>
        </w:rPr>
        <w:t>挂“岳阳市动物血吸虫病防治工作站”牌子），为岳阳市农业农村局管理的公益一类事业单位，机构规格相当于正科级。</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lang w:eastAsia="zh-CN"/>
        </w:rPr>
      </w:pPr>
      <w:r>
        <w:rPr>
          <w:rFonts w:hint="eastAsia" w:eastAsia="仿宋_GB2312" w:cs="仿宋_GB2312"/>
          <w:kern w:val="0"/>
          <w:sz w:val="32"/>
          <w:szCs w:val="32"/>
        </w:rPr>
        <w:t>职能职责</w:t>
      </w:r>
      <w:r>
        <w:rPr>
          <w:rFonts w:hint="eastAsia" w:eastAsia="仿宋_GB2312" w:cs="仿宋_GB2312"/>
          <w:kern w:val="0"/>
          <w:sz w:val="32"/>
          <w:szCs w:val="32"/>
          <w:lang w:eastAsia="zh-CN"/>
        </w:rPr>
        <w:t>：</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rPr>
      </w:pPr>
      <w:r>
        <w:rPr>
          <w:rFonts w:hint="eastAsia" w:eastAsia="仿宋_GB2312" w:cs="仿宋_GB2312"/>
          <w:kern w:val="0"/>
          <w:sz w:val="32"/>
          <w:szCs w:val="32"/>
        </w:rPr>
        <w:t>1.参与制定全市动物防疫工作规划、计划和动物强制免疫方案等，并协助组织实施。</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rPr>
      </w:pPr>
      <w:r>
        <w:rPr>
          <w:rFonts w:hint="eastAsia" w:eastAsia="仿宋_GB2312" w:cs="仿宋_GB2312"/>
          <w:kern w:val="0"/>
          <w:sz w:val="32"/>
          <w:szCs w:val="32"/>
        </w:rPr>
        <w:t>2.承担动物疫病的监测、检测、诊断、流行病学调查、疫情报告以及其他预防、控制等技术工作；按照国务院农业农村主管部门的规定和动物疫病监测计划，对动物疫病的发生、流行等情况进行监测，收集、分析、报告监测信息，预测动物疫病发生、流行趋势。</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rPr>
      </w:pPr>
      <w:r>
        <w:rPr>
          <w:rFonts w:hint="eastAsia" w:eastAsia="仿宋_GB2312" w:cs="仿宋_GB2312"/>
          <w:kern w:val="0"/>
          <w:sz w:val="32"/>
          <w:szCs w:val="32"/>
        </w:rPr>
        <w:t>3、承担动物疫病净化、消灭的技术工作；按照动物疫病净化、消灭的规划和计划，开展动物疫病净化技术指导、培训，对动物疫病净化效果进行监测、评估。</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rPr>
      </w:pPr>
      <w:r>
        <w:rPr>
          <w:rFonts w:hint="eastAsia" w:eastAsia="仿宋_GB2312" w:cs="仿宋_GB2312"/>
          <w:kern w:val="0"/>
          <w:sz w:val="32"/>
          <w:szCs w:val="32"/>
        </w:rPr>
        <w:t>4、对强制免疫计划实施情况和效果进行评估，并公布评估结果。</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rPr>
      </w:pPr>
      <w:r>
        <w:rPr>
          <w:rFonts w:hint="eastAsia" w:eastAsia="仿宋_GB2312" w:cs="仿宋_GB2312"/>
          <w:kern w:val="0"/>
          <w:sz w:val="32"/>
          <w:szCs w:val="32"/>
        </w:rPr>
        <w:t>5、承担对家畜血吸虫病监测、筛查、预测、流行病学调查、疫情报告和处理工作的技术支撑工作。</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rPr>
      </w:pPr>
      <w:r>
        <w:rPr>
          <w:rFonts w:hint="eastAsia" w:eastAsia="仿宋_GB2312" w:cs="仿宋_GB2312"/>
          <w:kern w:val="0"/>
          <w:sz w:val="32"/>
          <w:szCs w:val="32"/>
        </w:rPr>
        <w:t>6、完成市农业农村局交办的其他任务。</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Times New Roman" w:hAnsi="Times New Roman" w:eastAsia="仿宋_GB2312" w:cs="仿宋_GB2312"/>
          <w:kern w:val="0"/>
          <w:sz w:val="32"/>
          <w:szCs w:val="32"/>
          <w:lang w:eastAsia="zh-CN"/>
        </w:rPr>
      </w:pPr>
      <w:r>
        <w:rPr>
          <w:rFonts w:hint="eastAsia" w:eastAsia="仿宋_GB2312" w:cs="仿宋_GB2312"/>
          <w:kern w:val="0"/>
          <w:sz w:val="32"/>
          <w:szCs w:val="32"/>
          <w:lang w:eastAsia="zh-CN"/>
        </w:rPr>
        <w:t>独立编制、核算机构数</w:t>
      </w:r>
      <w:r>
        <w:rPr>
          <w:rFonts w:hint="eastAsia" w:eastAsia="仿宋_GB2312" w:cs="仿宋_GB2312"/>
          <w:kern w:val="0"/>
          <w:sz w:val="32"/>
          <w:szCs w:val="32"/>
          <w:lang w:val="en-US" w:eastAsia="zh-CN"/>
        </w:rPr>
        <w:t>1个，现有人员编制12名。截止2022年12月31日在编在岗人员12名，退休人员2名。</w:t>
      </w:r>
      <w:r>
        <w:rPr>
          <w:rFonts w:hint="eastAsia" w:eastAsia="仿宋_GB2312" w:cs="仿宋_GB2312"/>
          <w:kern w:val="0"/>
          <w:sz w:val="32"/>
          <w:szCs w:val="32"/>
          <w:lang w:eastAsia="zh-CN"/>
        </w:rPr>
        <w:t>内设</w:t>
      </w:r>
      <w:r>
        <w:rPr>
          <w:rFonts w:hint="eastAsia" w:eastAsia="仿宋_GB2312" w:cs="仿宋_GB2312"/>
          <w:kern w:val="0"/>
          <w:sz w:val="32"/>
          <w:szCs w:val="32"/>
          <w:lang w:val="en-US" w:eastAsia="zh-CN"/>
        </w:rPr>
        <w:t>3个部、室：综合部、血清学检测室、病原学检测室。</w:t>
      </w:r>
    </w:p>
    <w:p>
      <w:pPr>
        <w:pStyle w:val="6"/>
        <w:keepNext w:val="0"/>
        <w:keepLines w:val="0"/>
        <w:pageBreakBefore w:val="0"/>
        <w:widowControl/>
        <w:kinsoku/>
        <w:wordWrap/>
        <w:overflowPunct/>
        <w:topLinePunct w:val="0"/>
        <w:autoSpaceDE/>
        <w:autoSpaceDN/>
        <w:bidi w:val="0"/>
        <w:adjustRightInd/>
        <w:snapToGrid/>
        <w:spacing w:line="640" w:lineRule="exact"/>
        <w:ind w:left="0" w:leftChars="0" w:firstLine="320" w:firstLineChars="1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二、一般公共预算支出情况</w:t>
      </w:r>
    </w:p>
    <w:p>
      <w:pPr>
        <w:pStyle w:val="6"/>
        <w:keepNext w:val="0"/>
        <w:keepLines w:val="0"/>
        <w:pageBreakBefore w:val="0"/>
        <w:widowControl/>
        <w:kinsoku/>
        <w:wordWrap/>
        <w:overflowPunct/>
        <w:topLinePunct w:val="0"/>
        <w:autoSpaceDE/>
        <w:autoSpaceDN/>
        <w:bidi w:val="0"/>
        <w:adjustRightInd/>
        <w:snapToGrid/>
        <w:spacing w:line="640" w:lineRule="exact"/>
        <w:ind w:firstLine="643" w:firstLineChars="200"/>
        <w:jc w:val="both"/>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（一）</w:t>
      </w:r>
      <w:r>
        <w:rPr>
          <w:rFonts w:hint="eastAsia" w:ascii="Times New Roman" w:hAnsi="Times New Roman" w:eastAsia="楷体_GB2312" w:cs="Times New Roman"/>
          <w:b/>
          <w:sz w:val="32"/>
          <w:szCs w:val="32"/>
          <w:lang w:val="en-US" w:eastAsia="zh-CN"/>
        </w:rPr>
        <w:t xml:space="preserve"> </w:t>
      </w:r>
      <w:r>
        <w:rPr>
          <w:rFonts w:hint="default" w:ascii="Times New Roman" w:hAnsi="Times New Roman" w:eastAsia="楷体_GB2312" w:cs="Times New Roman"/>
          <w:b/>
          <w:sz w:val="32"/>
          <w:szCs w:val="32"/>
        </w:rPr>
        <w:t>基本支出情况</w:t>
      </w:r>
    </w:p>
    <w:p>
      <w:pPr>
        <w:pStyle w:val="6"/>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ascii="仿宋" w:hAnsi="仿宋" w:eastAsia="仿宋"/>
          <w:sz w:val="32"/>
          <w:szCs w:val="24"/>
          <w:lang w:val="en-US"/>
        </w:rPr>
      </w:pPr>
      <w:r>
        <w:rPr>
          <w:rFonts w:hint="eastAsia" w:ascii="仿宋" w:hAnsi="仿宋" w:eastAsia="仿宋"/>
          <w:sz w:val="32"/>
          <w:szCs w:val="24"/>
          <w:lang w:val="en-US" w:eastAsia="zh-CN"/>
        </w:rPr>
        <w:t>2022年基本支出197.61万元，其中，工资福利支出 163.29万元，商品和服务支出18.99 万元，对个人和家庭的补助支出15.34 元。</w:t>
      </w:r>
      <w:r>
        <w:rPr>
          <w:rFonts w:hint="eastAsia" w:ascii="仿宋" w:hAnsi="仿宋" w:eastAsia="仿宋"/>
          <w:sz w:val="32"/>
          <w:szCs w:val="24"/>
          <w:lang w:val="zh-CN"/>
        </w:rPr>
        <w:t>。人员经费比上年有所资增加，主要是因为</w:t>
      </w:r>
      <w:r>
        <w:rPr>
          <w:rFonts w:hint="eastAsia" w:ascii="仿宋" w:hAnsi="仿宋" w:eastAsia="仿宋"/>
          <w:sz w:val="32"/>
          <w:szCs w:val="24"/>
          <w:lang w:val="en-US" w:eastAsia="zh-CN"/>
        </w:rPr>
        <w:t>本年度通过公开招聘和“四海揽才”新进了3名工作人员。</w:t>
      </w:r>
    </w:p>
    <w:p>
      <w:pPr>
        <w:pStyle w:val="6"/>
        <w:keepNext w:val="0"/>
        <w:keepLines w:val="0"/>
        <w:pageBreakBefore w:val="0"/>
        <w:widowControl/>
        <w:numPr>
          <w:ilvl w:val="0"/>
          <w:numId w:val="2"/>
        </w:numPr>
        <w:kinsoku/>
        <w:wordWrap/>
        <w:overflowPunct/>
        <w:topLinePunct w:val="0"/>
        <w:autoSpaceDE/>
        <w:autoSpaceDN/>
        <w:bidi w:val="0"/>
        <w:adjustRightInd/>
        <w:snapToGrid/>
        <w:spacing w:line="640" w:lineRule="exact"/>
        <w:ind w:firstLine="643" w:firstLineChars="200"/>
        <w:jc w:val="both"/>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项目支出情况</w:t>
      </w:r>
    </w:p>
    <w:p>
      <w:pPr>
        <w:pStyle w:val="6"/>
        <w:keepNext w:val="0"/>
        <w:keepLines w:val="0"/>
        <w:pageBreakBefore w:val="0"/>
        <w:widowControl/>
        <w:numPr>
          <w:ilvl w:val="0"/>
          <w:numId w:val="0"/>
        </w:numPr>
        <w:kinsoku/>
        <w:wordWrap/>
        <w:overflowPunct/>
        <w:topLinePunct w:val="0"/>
        <w:autoSpaceDE/>
        <w:autoSpaceDN/>
        <w:bidi w:val="0"/>
        <w:adjustRightInd/>
        <w:snapToGrid/>
        <w:spacing w:line="640" w:lineRule="exact"/>
        <w:ind w:firstLine="320" w:firstLineChars="100"/>
        <w:jc w:val="both"/>
        <w:textAlignment w:val="auto"/>
        <w:rPr>
          <w:rFonts w:hint="default" w:ascii="仿宋" w:hAnsi="仿宋" w:eastAsia="仿宋"/>
          <w:sz w:val="32"/>
          <w:szCs w:val="24"/>
          <w:lang w:val="en-US" w:eastAsia="zh-CN"/>
        </w:rPr>
      </w:pPr>
      <w:r>
        <w:rPr>
          <w:rFonts w:hint="eastAsia" w:ascii="仿宋" w:hAnsi="仿宋" w:eastAsia="仿宋"/>
          <w:sz w:val="32"/>
          <w:szCs w:val="24"/>
          <w:lang w:val="en-US" w:eastAsia="zh-CN"/>
        </w:rPr>
        <w:t>2022年</w:t>
      </w:r>
      <w:r>
        <w:rPr>
          <w:rFonts w:hint="eastAsia" w:ascii="仿宋" w:hAnsi="仿宋" w:eastAsia="仿宋"/>
          <w:sz w:val="32"/>
          <w:szCs w:val="24"/>
          <w:lang w:val="en-US"/>
        </w:rPr>
        <w:t>项目支出</w:t>
      </w:r>
      <w:r>
        <w:rPr>
          <w:rFonts w:hint="eastAsia" w:ascii="仿宋" w:hAnsi="仿宋" w:eastAsia="仿宋"/>
          <w:sz w:val="32"/>
          <w:szCs w:val="24"/>
          <w:lang w:val="en-US" w:eastAsia="zh-CN"/>
        </w:rPr>
        <w:t>158.07</w:t>
      </w:r>
      <w:r>
        <w:rPr>
          <w:rFonts w:hint="eastAsia" w:ascii="仿宋" w:hAnsi="仿宋" w:eastAsia="仿宋"/>
          <w:sz w:val="32"/>
          <w:szCs w:val="24"/>
          <w:lang w:val="en-US"/>
        </w:rPr>
        <w:t>万元，比上年增</w:t>
      </w:r>
      <w:r>
        <w:rPr>
          <w:rFonts w:hint="eastAsia" w:ascii="仿宋" w:hAnsi="仿宋" w:eastAsia="仿宋"/>
          <w:sz w:val="32"/>
          <w:szCs w:val="24"/>
          <w:lang w:val="en-US" w:eastAsia="zh-CN"/>
        </w:rPr>
        <w:t>加66.62</w:t>
      </w:r>
      <w:r>
        <w:rPr>
          <w:rFonts w:hint="eastAsia" w:ascii="仿宋" w:hAnsi="仿宋" w:eastAsia="仿宋"/>
          <w:sz w:val="32"/>
          <w:szCs w:val="24"/>
          <w:lang w:val="en-US"/>
        </w:rPr>
        <w:t>万元，增长</w:t>
      </w:r>
      <w:r>
        <w:rPr>
          <w:rFonts w:hint="eastAsia" w:ascii="仿宋" w:hAnsi="仿宋" w:eastAsia="仿宋"/>
          <w:sz w:val="32"/>
          <w:szCs w:val="24"/>
          <w:lang w:val="en-US" w:eastAsia="zh-CN"/>
        </w:rPr>
        <w:t>72.85</w:t>
      </w:r>
      <w:r>
        <w:rPr>
          <w:rFonts w:hint="eastAsia" w:ascii="仿宋" w:hAnsi="仿宋" w:eastAsia="仿宋"/>
          <w:sz w:val="32"/>
          <w:szCs w:val="24"/>
          <w:lang w:val="en-US"/>
        </w:rPr>
        <w:t>%；</w:t>
      </w:r>
      <w:r>
        <w:rPr>
          <w:rFonts w:hint="eastAsia" w:ascii="仿宋" w:hAnsi="仿宋" w:eastAsia="仿宋"/>
          <w:sz w:val="32"/>
          <w:szCs w:val="24"/>
          <w:lang w:val="zh-CN"/>
        </w:rPr>
        <w:t>变化的主要原因：今年动物疫病监测任务比上年有所增加；购置了实验室检测用仪器设备及购置了一台特种技术用车。</w:t>
      </w:r>
    </w:p>
    <w:p>
      <w:pPr>
        <w:pStyle w:val="6"/>
        <w:keepNext w:val="0"/>
        <w:keepLines w:val="0"/>
        <w:pageBreakBefore w:val="0"/>
        <w:widowControl/>
        <w:numPr>
          <w:ilvl w:val="0"/>
          <w:numId w:val="1"/>
        </w:numPr>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政府性基金预算支出情况</w:t>
      </w:r>
    </w:p>
    <w:p>
      <w:pPr>
        <w:pStyle w:val="6"/>
        <w:keepNext w:val="0"/>
        <w:keepLines w:val="0"/>
        <w:pageBreakBefore w:val="0"/>
        <w:widowControl/>
        <w:numPr>
          <w:ilvl w:val="0"/>
          <w:numId w:val="0"/>
        </w:numPr>
        <w:kinsoku/>
        <w:wordWrap/>
        <w:overflowPunct/>
        <w:topLinePunct w:val="0"/>
        <w:autoSpaceDE/>
        <w:autoSpaceDN/>
        <w:bidi w:val="0"/>
        <w:adjustRightInd/>
        <w:snapToGrid/>
        <w:spacing w:line="640" w:lineRule="exact"/>
        <w:ind w:firstLine="1280" w:firstLineChars="400"/>
        <w:jc w:val="both"/>
        <w:textAlignment w:val="auto"/>
        <w:rPr>
          <w:rFonts w:hint="eastAsia" w:ascii="仿宋" w:hAnsi="仿宋" w:eastAsia="仿宋"/>
          <w:sz w:val="32"/>
          <w:szCs w:val="24"/>
          <w:lang w:val="zh-CN" w:eastAsia="zh-CN"/>
        </w:rPr>
      </w:pPr>
      <w:r>
        <w:rPr>
          <w:rFonts w:hint="eastAsia" w:ascii="仿宋" w:hAnsi="仿宋" w:eastAsia="仿宋"/>
          <w:sz w:val="32"/>
          <w:szCs w:val="24"/>
          <w:lang w:val="zh-CN" w:eastAsia="zh-CN"/>
        </w:rPr>
        <w:t>我单位没有</w:t>
      </w:r>
      <w:r>
        <w:rPr>
          <w:rFonts w:hint="default" w:ascii="仿宋" w:hAnsi="仿宋" w:eastAsia="仿宋"/>
          <w:sz w:val="32"/>
          <w:szCs w:val="24"/>
          <w:lang w:val="zh-CN"/>
        </w:rPr>
        <w:t>政府性基金预算支出</w:t>
      </w:r>
      <w:r>
        <w:rPr>
          <w:rFonts w:hint="eastAsia" w:ascii="仿宋" w:hAnsi="仿宋" w:eastAsia="仿宋"/>
          <w:sz w:val="32"/>
          <w:szCs w:val="24"/>
          <w:lang w:val="zh-CN" w:eastAsia="zh-CN"/>
        </w:rPr>
        <w:t>。</w:t>
      </w:r>
    </w:p>
    <w:p>
      <w:pPr>
        <w:pStyle w:val="6"/>
        <w:keepNext w:val="0"/>
        <w:keepLines w:val="0"/>
        <w:pageBreakBefore w:val="0"/>
        <w:widowControl/>
        <w:numPr>
          <w:ilvl w:val="0"/>
          <w:numId w:val="1"/>
        </w:numPr>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国有资本经营预算支出情况</w:t>
      </w:r>
    </w:p>
    <w:p>
      <w:pPr>
        <w:pStyle w:val="6"/>
        <w:keepNext w:val="0"/>
        <w:keepLines w:val="0"/>
        <w:pageBreakBefore w:val="0"/>
        <w:widowControl/>
        <w:numPr>
          <w:ilvl w:val="0"/>
          <w:numId w:val="0"/>
        </w:numPr>
        <w:kinsoku/>
        <w:wordWrap/>
        <w:overflowPunct/>
        <w:topLinePunct w:val="0"/>
        <w:autoSpaceDE/>
        <w:autoSpaceDN/>
        <w:bidi w:val="0"/>
        <w:adjustRightInd/>
        <w:snapToGrid/>
        <w:spacing w:line="640" w:lineRule="exact"/>
        <w:ind w:firstLine="1280" w:firstLineChars="400"/>
        <w:jc w:val="both"/>
        <w:textAlignment w:val="auto"/>
        <w:rPr>
          <w:rFonts w:hint="default" w:ascii="仿宋" w:hAnsi="仿宋" w:eastAsia="仿宋"/>
          <w:sz w:val="32"/>
          <w:szCs w:val="24"/>
          <w:lang w:val="zh-CN" w:eastAsia="zh-CN"/>
        </w:rPr>
      </w:pPr>
      <w:r>
        <w:rPr>
          <w:rFonts w:hint="eastAsia" w:ascii="仿宋" w:hAnsi="仿宋" w:eastAsia="仿宋"/>
          <w:sz w:val="32"/>
          <w:szCs w:val="24"/>
          <w:lang w:val="zh-CN" w:eastAsia="zh-CN"/>
        </w:rPr>
        <w:t>我单位没有</w:t>
      </w:r>
      <w:r>
        <w:rPr>
          <w:rFonts w:hint="default" w:ascii="仿宋" w:hAnsi="仿宋" w:eastAsia="仿宋"/>
          <w:sz w:val="32"/>
          <w:szCs w:val="24"/>
          <w:lang w:val="zh-CN" w:eastAsia="zh-CN"/>
        </w:rPr>
        <w:t>国有资本经营预算支出</w:t>
      </w:r>
      <w:r>
        <w:rPr>
          <w:rFonts w:hint="eastAsia" w:ascii="仿宋" w:hAnsi="仿宋" w:eastAsia="仿宋"/>
          <w:sz w:val="32"/>
          <w:szCs w:val="24"/>
          <w:lang w:val="zh-CN" w:eastAsia="zh-CN"/>
        </w:rPr>
        <w:t>。</w:t>
      </w:r>
    </w:p>
    <w:p>
      <w:pPr>
        <w:pStyle w:val="6"/>
        <w:keepNext w:val="0"/>
        <w:keepLines w:val="0"/>
        <w:pageBreakBefore w:val="0"/>
        <w:widowControl/>
        <w:numPr>
          <w:ilvl w:val="0"/>
          <w:numId w:val="1"/>
        </w:numPr>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社会保险基金预算支出情况</w:t>
      </w:r>
    </w:p>
    <w:p>
      <w:pPr>
        <w:pStyle w:val="6"/>
        <w:keepNext w:val="0"/>
        <w:keepLines w:val="0"/>
        <w:pageBreakBefore w:val="0"/>
        <w:widowControl/>
        <w:numPr>
          <w:ilvl w:val="0"/>
          <w:numId w:val="0"/>
        </w:numPr>
        <w:kinsoku/>
        <w:wordWrap/>
        <w:overflowPunct/>
        <w:topLinePunct w:val="0"/>
        <w:autoSpaceDE/>
        <w:autoSpaceDN/>
        <w:bidi w:val="0"/>
        <w:adjustRightInd/>
        <w:snapToGrid/>
        <w:spacing w:line="640" w:lineRule="exact"/>
        <w:ind w:leftChars="200" w:firstLine="640" w:firstLineChars="200"/>
        <w:jc w:val="both"/>
        <w:textAlignment w:val="auto"/>
        <w:rPr>
          <w:rFonts w:hint="default" w:ascii="仿宋" w:hAnsi="仿宋" w:eastAsia="仿宋"/>
          <w:sz w:val="32"/>
          <w:szCs w:val="24"/>
          <w:lang w:val="zh-CN" w:eastAsia="zh-CN"/>
        </w:rPr>
      </w:pPr>
      <w:r>
        <w:rPr>
          <w:rFonts w:hint="eastAsia" w:ascii="仿宋" w:hAnsi="仿宋" w:eastAsia="仿宋"/>
          <w:sz w:val="32"/>
          <w:szCs w:val="24"/>
          <w:lang w:val="zh-CN" w:eastAsia="zh-CN"/>
        </w:rPr>
        <w:t>我单位没有</w:t>
      </w:r>
      <w:r>
        <w:rPr>
          <w:rFonts w:hint="default" w:ascii="仿宋" w:hAnsi="仿宋" w:eastAsia="仿宋"/>
          <w:sz w:val="32"/>
          <w:szCs w:val="24"/>
          <w:lang w:val="zh-CN" w:eastAsia="zh-CN"/>
        </w:rPr>
        <w:t>社会保险基金预算支出</w:t>
      </w:r>
      <w:r>
        <w:rPr>
          <w:rFonts w:hint="eastAsia" w:ascii="仿宋" w:hAnsi="仿宋" w:eastAsia="仿宋"/>
          <w:sz w:val="32"/>
          <w:szCs w:val="24"/>
          <w:lang w:val="zh-CN" w:eastAsia="zh-CN"/>
        </w:rPr>
        <w:t>。</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六、部门整体支出绩效情况</w:t>
      </w:r>
    </w:p>
    <w:p>
      <w:pPr>
        <w:spacing w:line="560" w:lineRule="exact"/>
        <w:ind w:left="0" w:leftChars="0" w:firstLine="1280" w:firstLineChars="4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2022年市动物疫控中心整体支出355.68万元，其中基本支出197.61万元，占总支出55.56%；项目支出158.07万元，占总支出44.44%。“三公”经费支出情况：2022年我单位“三公”实际支出26.02万元，其中：公务接待费1.8万元、特种技术用车购置19.57万元，公务用车运行维护费4.65万元  。</w:t>
      </w:r>
    </w:p>
    <w:p>
      <w:pPr>
        <w:numPr>
          <w:ilvl w:val="0"/>
          <w:numId w:val="3"/>
        </w:numPr>
        <w:spacing w:line="560" w:lineRule="exact"/>
        <w:ind w:left="0" w:leftChars="0"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全年整体绩效完成情况：主要完成了1、非洲猪瘟排查监测与流行病学调查。通过责任到人，按照包乡、包村、包养殖场的要求，责任到人，进一步压紧压实非洲猪瘟等重大动物疫病防控责任，加强重点环节排查工作，全年共排查养殖场98537场次，屠宰场3012场次，无害化处理场1011场次，排查生猪788万头。通过开展非洲猪瘟排查工作，落实疫情防控措施，及时发现和消除非洲猪瘟疫情发生的风险和隐患。2、开展强制免疫和效果评估工作，稳定畜牧业发展基本盘。一是开展强制免疫工作，保障免疫密度；二是开展免疫效果评估，构建免疫屏障。3、深入推进“先打后补”工作。2022年我市共有32个规模养殖场通过了“先打后补”资质认证，申请资金61.72万元，2023年，我市共有235个规模养殖申请“先打后补”资质认证，其中183个养殖场通过了资质认证。4、生猪疫病监测和净化工作。截至目前，佳和农牧汨罗分公司通过农业部的伪狂犬净化场创建考核，平江县昌源种羊场通过布病净化场创建考核，预计明年创建2-4个“动物疫病净化场”。5、人畜共患病监测和处置工作。一是每月开展家禽市场禽流感专项监测工作。每月对金兰活禽屠宰场和城区主要活禽市场八字门农贸市场采集家禽咽肛拭子和环境拭子进行禽流感H5和H7病原监测，共检测拭子1080份样品，H5与H7禽流感病毒核酸均为阴性。二是开展紧急集中监测。</w:t>
      </w:r>
      <w:bookmarkStart w:id="0" w:name="_GoBack"/>
      <w:bookmarkEnd w:id="0"/>
      <w:r>
        <w:rPr>
          <w:rFonts w:hint="eastAsia" w:ascii="Times New Roman" w:hAnsi="Times New Roman" w:eastAsia="仿宋_GB2312" w:cs="Times New Roman"/>
          <w:color w:val="000000"/>
          <w:sz w:val="32"/>
          <w:szCs w:val="32"/>
          <w:lang w:val="en-US" w:eastAsia="zh-CN"/>
        </w:rPr>
        <w:t>6、动物血防工作。开展“两治一查”。疫区牛羊开展“两治一查”，在5-6月、以及3-4月和9-10月分别开展一次查病和两次化疗，全市共计查病17236头，化疗20485头，未发现阳性样。如期完成了全年绩效目标任务。获得了全省动物疫病防治员竞赛项目优秀团体奖，服务对象满意度达95%及以上。</w:t>
      </w:r>
    </w:p>
    <w:p>
      <w:pPr>
        <w:numPr>
          <w:ilvl w:val="0"/>
          <w:numId w:val="3"/>
        </w:numPr>
        <w:spacing w:line="560" w:lineRule="exact"/>
        <w:ind w:left="0" w:leftChars="0" w:firstLine="640" w:firstLineChars="200"/>
        <w:rPr>
          <w:rFonts w:hint="eastAsia" w:ascii="仿宋" w:hAnsi="仿宋" w:eastAsia="仿宋" w:cs="Times New Roman"/>
          <w:kern w:val="0"/>
          <w:sz w:val="32"/>
          <w:szCs w:val="24"/>
          <w:lang w:val="en-US" w:eastAsia="zh-CN" w:bidi="ar-SA"/>
        </w:rPr>
      </w:pPr>
      <w:r>
        <w:rPr>
          <w:rFonts w:hint="eastAsia" w:ascii="仿宋" w:hAnsi="仿宋" w:eastAsia="仿宋" w:cs="Times New Roman"/>
          <w:kern w:val="0"/>
          <w:sz w:val="32"/>
          <w:szCs w:val="24"/>
          <w:lang w:val="en-US" w:eastAsia="zh-CN" w:bidi="ar-SA"/>
        </w:rPr>
        <w:t>固定资产管理情况：坚持厉行节约、物尽其用的原则，我单位资产管理采取统一建账、统一核算管理，资产系统与账务系统一致。2022年按上级要求对资产进行了全面的清理，保证能用则用，对不能用的资产，采取先处置后购置，保证了资产的安全高效。添置了部分急需的固定资产。截止到2022年12月底，固定资产总额原值为271.69万元。净值为57.53万元。</w:t>
      </w:r>
    </w:p>
    <w:p>
      <w:pPr>
        <w:spacing w:line="560" w:lineRule="exact"/>
        <w:ind w:left="0" w:leftChars="0" w:firstLine="640" w:firstLineChars="200"/>
        <w:rPr>
          <w:rFonts w:hint="eastAsia" w:ascii="仿宋" w:hAnsi="仿宋" w:eastAsia="仿宋" w:cs="Times New Roman"/>
          <w:kern w:val="0"/>
          <w:sz w:val="32"/>
          <w:szCs w:val="24"/>
          <w:lang w:val="en-US" w:eastAsia="zh-CN" w:bidi="ar-SA"/>
        </w:rPr>
      </w:pPr>
      <w:r>
        <w:rPr>
          <w:rFonts w:hint="eastAsia" w:ascii="仿宋" w:hAnsi="仿宋" w:eastAsia="仿宋" w:cs="Times New Roman"/>
          <w:kern w:val="0"/>
          <w:sz w:val="32"/>
          <w:szCs w:val="24"/>
          <w:lang w:val="en-US" w:eastAsia="zh-CN" w:bidi="ar-SA"/>
        </w:rPr>
        <w:t>（三）单位整体支出管理情况：1、严格预算支出管理。在支出预算编制上，人员经费按照配置定额，逐人核定编制，公用经费分类分档，按定额编制；根据“总量控制、计划管理”的要求从严控制运行经费，严格控制“三公”经费，按照预算科目和项目资金的规定使用财政资金，保障部门整体支出的规范化、制度化。</w:t>
      </w:r>
    </w:p>
    <w:p>
      <w:pPr>
        <w:spacing w:line="560" w:lineRule="exact"/>
        <w:ind w:left="0" w:leftChars="0" w:firstLine="640" w:firstLineChars="200"/>
        <w:rPr>
          <w:rFonts w:hint="eastAsia" w:ascii="仿宋" w:hAnsi="仿宋" w:eastAsia="仿宋" w:cs="Times New Roman"/>
          <w:kern w:val="0"/>
          <w:sz w:val="32"/>
          <w:szCs w:val="24"/>
          <w:lang w:val="en-US" w:eastAsia="zh-CN" w:bidi="ar-SA"/>
        </w:rPr>
      </w:pPr>
      <w:r>
        <w:rPr>
          <w:rFonts w:hint="eastAsia" w:ascii="仿宋" w:hAnsi="仿宋" w:eastAsia="仿宋" w:cs="Times New Roman"/>
          <w:kern w:val="0"/>
          <w:sz w:val="32"/>
          <w:szCs w:val="24"/>
          <w:lang w:val="en-US" w:eastAsia="zh-CN" w:bidi="ar-SA"/>
        </w:rPr>
        <w:t>2、财务管理按制度运行。按照国家法律法规，制定了财务、车辆使用等内部控制制度，并按照制度管理和执行，防范风险，保证财政资金的安全和高效运行。</w:t>
      </w:r>
    </w:p>
    <w:p>
      <w:pPr>
        <w:pStyle w:val="6"/>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七、存在的问题及原因分析</w:t>
      </w:r>
    </w:p>
    <w:p>
      <w:pPr>
        <w:spacing w:line="560" w:lineRule="exact"/>
        <w:ind w:left="0" w:leftChars="0" w:firstLine="640" w:firstLineChars="200"/>
        <w:rPr>
          <w:rFonts w:hint="default" w:ascii="仿宋" w:hAnsi="仿宋" w:eastAsia="仿宋" w:cs="Times New Roman"/>
          <w:kern w:val="0"/>
          <w:sz w:val="32"/>
          <w:szCs w:val="24"/>
          <w:lang w:val="en-US" w:eastAsia="zh-CN" w:bidi="ar-SA"/>
        </w:rPr>
      </w:pPr>
      <w:r>
        <w:rPr>
          <w:rFonts w:hint="eastAsia" w:ascii="仿宋" w:hAnsi="仿宋" w:eastAsia="仿宋" w:cs="Times New Roman"/>
          <w:kern w:val="0"/>
          <w:sz w:val="32"/>
          <w:szCs w:val="24"/>
          <w:lang w:val="en-US" w:eastAsia="zh-CN" w:bidi="ar-SA"/>
        </w:rPr>
        <w:t>预算编制有待更严格执行，预算编制与实际支出项目有的存在差异，专项支出有待进一步加强。</w:t>
      </w:r>
    </w:p>
    <w:p>
      <w:pPr>
        <w:keepNext w:val="0"/>
        <w:keepLines w:val="0"/>
        <w:pageBreakBefore w:val="0"/>
        <w:widowControl/>
        <w:numPr>
          <w:ilvl w:val="0"/>
          <w:numId w:val="4"/>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下一步改进措施</w:t>
      </w:r>
    </w:p>
    <w:p>
      <w:pPr>
        <w:pStyle w:val="6"/>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仿宋" w:hAnsi="仿宋" w:eastAsia="仿宋" w:cs="Times New Roman"/>
          <w:kern w:val="0"/>
          <w:sz w:val="32"/>
          <w:szCs w:val="24"/>
          <w:lang w:val="en-US" w:eastAsia="zh-CN" w:bidi="ar-SA"/>
        </w:rPr>
      </w:pPr>
      <w:r>
        <w:rPr>
          <w:rFonts w:hint="eastAsia" w:ascii="仿宋" w:hAnsi="仿宋" w:eastAsia="仿宋" w:cs="Times New Roman"/>
          <w:kern w:val="0"/>
          <w:sz w:val="32"/>
          <w:szCs w:val="24"/>
          <w:lang w:val="en-US" w:eastAsia="zh-CN" w:bidi="ar-SA"/>
        </w:rPr>
        <w:t>对今后的工作，一是按照预算规定的项目和用途严格财务审计，经费支出严格按预算规定项目的财务支出内容进行财务预算，在预算金额内严格控制费用的支出。二是进一步细化“三公”经费管理，杜绝挪用和挤占其他预算资金。三是预算财务分析常态化，定期做好预算支出财务分析，做好部门整体支出预算评价工作。</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九、部门整体支出绩效自评结果拟应用和公开情况</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 w:hAnsi="仿宋" w:eastAsia="仿宋" w:cs="Times New Roman"/>
          <w:kern w:val="0"/>
          <w:sz w:val="32"/>
          <w:szCs w:val="24"/>
          <w:lang w:val="en-US" w:eastAsia="zh-CN" w:bidi="ar-SA"/>
        </w:rPr>
      </w:pPr>
      <w:r>
        <w:rPr>
          <w:rFonts w:hint="default" w:ascii="Times New Roman" w:hAnsi="Times New Roman" w:eastAsia="黑体" w:cs="Times New Roman"/>
          <w:sz w:val="32"/>
          <w:szCs w:val="32"/>
        </w:rPr>
        <w:t>其他需要说明的情况</w:t>
      </w:r>
      <w:r>
        <w:rPr>
          <w:rFonts w:hint="eastAsia" w:ascii="Times New Roman" w:hAnsi="Times New Roman" w:eastAsia="黑体" w:cs="Times New Roman"/>
          <w:sz w:val="32"/>
          <w:szCs w:val="32"/>
          <w:lang w:val="en-US" w:eastAsia="zh-CN"/>
        </w:rPr>
        <w:t xml:space="preserve"> </w:t>
      </w:r>
      <w:r>
        <w:rPr>
          <w:rFonts w:hint="eastAsia" w:ascii="仿宋" w:hAnsi="仿宋" w:eastAsia="仿宋" w:cs="Times New Roman"/>
          <w:kern w:val="0"/>
          <w:sz w:val="32"/>
          <w:szCs w:val="24"/>
          <w:lang w:val="en-US" w:eastAsia="zh-CN" w:bidi="ar-SA"/>
        </w:rPr>
        <w:t>无</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3CAAE7"/>
    <w:multiLevelType w:val="singleLevel"/>
    <w:tmpl w:val="873CAAE7"/>
    <w:lvl w:ilvl="0" w:tentative="0">
      <w:start w:val="8"/>
      <w:numFmt w:val="chineseCounting"/>
      <w:suff w:val="nothing"/>
      <w:lvlText w:val="%1、"/>
      <w:lvlJc w:val="left"/>
      <w:rPr>
        <w:rFonts w:hint="eastAsia"/>
      </w:rPr>
    </w:lvl>
  </w:abstractNum>
  <w:abstractNum w:abstractNumId="1">
    <w:nsid w:val="48B30E36"/>
    <w:multiLevelType w:val="singleLevel"/>
    <w:tmpl w:val="48B30E36"/>
    <w:lvl w:ilvl="0" w:tentative="0">
      <w:start w:val="2"/>
      <w:numFmt w:val="chineseCounting"/>
      <w:suff w:val="nothing"/>
      <w:lvlText w:val="（%1）"/>
      <w:lvlJc w:val="left"/>
      <w:rPr>
        <w:rFonts w:hint="eastAsia"/>
      </w:rPr>
    </w:lvl>
  </w:abstractNum>
  <w:abstractNum w:abstractNumId="2">
    <w:nsid w:val="5D17A34A"/>
    <w:multiLevelType w:val="singleLevel"/>
    <w:tmpl w:val="5D17A34A"/>
    <w:lvl w:ilvl="0" w:tentative="0">
      <w:start w:val="1"/>
      <w:numFmt w:val="chineseCounting"/>
      <w:suff w:val="nothing"/>
      <w:lvlText w:val="%1、"/>
      <w:lvlJc w:val="left"/>
      <w:rPr>
        <w:rFonts w:hint="eastAsia"/>
      </w:rPr>
    </w:lvl>
  </w:abstractNum>
  <w:abstractNum w:abstractNumId="3">
    <w:nsid w:val="6C31D8E5"/>
    <w:multiLevelType w:val="singleLevel"/>
    <w:tmpl w:val="6C31D8E5"/>
    <w:lvl w:ilvl="0" w:tentative="0">
      <w:start w:val="1"/>
      <w:numFmt w:val="chineseCounting"/>
      <w:suff w:val="nothing"/>
      <w:lvlText w:val="（%1）"/>
      <w:lvlJc w:val="left"/>
      <w:rPr>
        <w:rFonts w:hint="eastAsi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3C5005"/>
    <w:rsid w:val="053C5005"/>
    <w:rsid w:val="0A0C5996"/>
    <w:rsid w:val="13422DF8"/>
    <w:rsid w:val="36741C60"/>
    <w:rsid w:val="3A9B1D2B"/>
    <w:rsid w:val="3CF90274"/>
    <w:rsid w:val="49720721"/>
    <w:rsid w:val="5BB34FCE"/>
    <w:rsid w:val="5E597DF0"/>
    <w:rsid w:val="682E70FD"/>
    <w:rsid w:val="6B070A1B"/>
    <w:rsid w:val="70D91220"/>
    <w:rsid w:val="7D0D69B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 w:hAnsi="仿宋" w:eastAsia="宋体" w:cs="Times New Roman"/>
      <w:kern w:val="0"/>
      <w:sz w:val="28"/>
      <w:szCs w:val="24"/>
      <w:lang w:val="en-US" w:eastAsia="zh-CN" w:bidi="ar-SA"/>
    </w:rPr>
  </w:style>
  <w:style w:type="paragraph" w:styleId="2">
    <w:name w:val="heading 2"/>
    <w:basedOn w:val="1"/>
    <w:next w:val="1"/>
    <w:qFormat/>
    <w:uiPriority w:val="0"/>
    <w:pPr>
      <w:keepNext/>
      <w:keepLines/>
      <w:jc w:val="center"/>
      <w:outlineLvl w:val="1"/>
    </w:pPr>
    <w:rPr>
      <w:rFonts w:eastAsia="楷体_GB2312"/>
      <w:bCs/>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toa heading"/>
    <w:basedOn w:val="1"/>
    <w:next w:val="1"/>
    <w:qFormat/>
    <w:uiPriority w:val="99"/>
    <w:pPr>
      <w:spacing w:before="120" w:after="200" w:line="276" w:lineRule="auto"/>
    </w:pPr>
    <w:rPr>
      <w:rFonts w:ascii="Arial" w:hAnsi="Arial"/>
      <w:sz w:val="24"/>
    </w:rPr>
  </w:style>
  <w:style w:type="paragraph" w:styleId="6">
    <w:name w:val="List Paragraph"/>
    <w:basedOn w:val="1"/>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Office_11.8.6.11021_F1E327BC-269C-435d-A152-05C5408002CA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2023-05-25T07:33:00Z</dcterms:created>
  <dc:creator>贵琳</dc:creator>
  <cp:lastModifiedBy>Administrator</cp:lastModifiedBy>
  <dcterms:modified xsi:type="dcterms:W3CDTF">2023-06-08T09:15:01Z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2052-11.8.6.11021</vt:lpwstr>
  </property>
  <property fmtid="{D5CDD505-2E9C-101B-9397-08002B2CF9AE}" pid="3" name="ICV">
    <vt:lpwstr>A49162B583EF4C9C82131FD3F7B8660E</vt:lpwstr>
  </property>
</Properties>
</file>